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071426"/>
          </w:tcPr>
          <w:p>
            <w:pPr>
              <w:spacing w:before="700" w:after="1000"/>
            </w:pPr>
            <w:r>
              <w:rPr>
                <w:rFonts w:ascii="Aptos Display" w:hAnsi="Aptos Display"/>
                <w:b/>
                <w:color w:val="28D9ED"/>
                <w:sz w:val="34"/>
              </w:rPr>
              <w:t>VORTEX ED</w:t>
            </w:r>
          </w:p>
          <w:p>
            <w:r>
              <w:rPr>
                <w:rFonts w:ascii="Aptos Display" w:hAnsi="Aptos Display"/>
                <w:b/>
                <w:color w:val="FFFFFF"/>
                <w:sz w:val="84"/>
              </w:rPr>
              <w:t>COMPUTACIÓN</w:t>
              <w:br/>
              <w:t>CUÁNTICA</w:t>
            </w:r>
          </w:p>
          <w:p>
            <w:pPr>
              <w:spacing w:before="300"/>
            </w:pPr>
            <w:r>
              <w:rPr>
                <w:b/>
                <w:color w:val="A98BFF"/>
                <w:sz w:val="34"/>
              </w:rPr>
              <w:t>DE CERO A EXPERTO</w:t>
            </w:r>
          </w:p>
          <w:p>
            <w:pPr>
              <w:spacing w:before="500" w:after="1100"/>
            </w:pPr>
            <w:r>
              <w:rPr>
                <w:color w:val="A9BCD5"/>
                <w:sz w:val="22"/>
              </w:rPr>
              <w:t>Programa académico · laboratorios · proyectos · evaluación final</w:t>
            </w:r>
          </w:p>
          <w:p>
            <w:pPr>
              <w:spacing w:after="600"/>
            </w:pPr>
            <w:r>
              <w:rPr>
                <w:b/>
                <w:color w:val="20B98A"/>
                <w:sz w:val="18"/>
              </w:rPr>
              <w:t>6 NIVELES    ·    18 MÓDULOS    ·    144 HORAS    ·    6 PROYECTOS</w:t>
            </w:r>
          </w:p>
        </w:tc>
      </w:tr>
    </w:tbl>
    <w:p>
      <w:pPr>
        <w:jc w:val="center"/>
      </w:pPr>
      <w:r>
        <w:rPr>
          <w:i/>
          <w:color w:val="5D728A"/>
          <w:sz w:val="16"/>
        </w:rPr>
        <w:t>Versión preliminar para revisión local · Septiembre 2026</w:t>
      </w:r>
      <w:r>
        <w:br w:type="page"/>
      </w:r>
    </w:p>
    <w:p>
      <w:pPr>
        <w:spacing w:after="80"/>
      </w:pPr>
      <w:r>
        <w:rPr>
          <w:rFonts w:ascii="Aptos" w:hAnsi="Aptos"/>
          <w:b/>
          <w:color w:val="526DFF"/>
          <w:sz w:val="16"/>
        </w:rPr>
        <w:t>PRESENTACIÓN</w:t>
      </w:r>
    </w:p>
    <w:p>
      <w:pPr>
        <w:pStyle w:val="Heading1"/>
      </w:pPr>
      <w:r>
        <w:t>Una ruta para comprender, construir y evaluar tecnología cuántica</w:t>
      </w:r>
    </w:p>
    <w:p>
      <w:r>
        <w:t>Este curso introduce la computación cuántica desde sus fundamentos y avanza hasta el diseño de soluciones, la ejecución sobre hardware, la corrección de errores y la defensa de un proyecto profesional. La secuencia combina intuición, matemática, programación y criterio de ingeniería.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EEF4FB"/>
          </w:tcPr>
          <w:p>
            <w:pPr>
              <w:spacing w:after="80"/>
            </w:pPr>
            <w:r>
              <w:rPr>
                <w:b/>
                <w:color w:val="526DFF"/>
              </w:rPr>
              <w:t>Promesa académica responsable</w:t>
            </w:r>
          </w:p>
          <w:p>
            <w:pPr>
              <w:spacing w:after="40"/>
            </w:pPr>
            <w:r>
              <w:t>“De cero a experto” describe una ruta formativa completa. El dominio profesional requiere completar las prácticas, estudiar las fuentes, experimentar de forma sostenida y aprobar el proyecto final; no depende solamente de consumir contenidos.</w:t>
            </w:r>
          </w:p>
        </w:tc>
      </w:tr>
    </w:tbl>
    <w:p>
      <w:pPr>
        <w:pStyle w:val="Heading2"/>
      </w:pPr>
      <w:r>
        <w:t>Ficha del curso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Nombre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Computación Cuántica: de Cero a Experto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Línea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Vortex Ed · Formación profesional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Duración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144 horas sugeridas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Ritmo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20 semanas · 7 a 8 horas semanales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Modalidad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Teoría guiada, notebooks, simuladores, hardware cloud y mentoría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Requisitos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Álgebra escolar, curiosidad técnica y disposición para aprender Python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Evaluación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Cuestionarios 15% · laboratorios 30% · proyectos 30% · capstone 25%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Certificación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Certificado interno de finalización sujeto a evaluación y proyecto aprobado</w:t>
            </w:r>
          </w:p>
        </w:tc>
      </w:tr>
    </w:tbl>
    <w:p>
      <w:pPr>
        <w:pStyle w:val="Heading2"/>
      </w:pPr>
      <w:r>
        <w:t>Resultados de aprendizaje</w:t>
      </w:r>
    </w:p>
    <w:p>
      <w:pPr>
        <w:pStyle w:val="ListBullet"/>
        <w:spacing w:after="40"/>
      </w:pPr>
      <w:r>
        <w:t>Representar estados cuánticos mediante vectores, amplitudes y notación de Dirac.</w:t>
      </w:r>
    </w:p>
    <w:p>
      <w:pPr>
        <w:pStyle w:val="ListBullet"/>
        <w:spacing w:after="40"/>
      </w:pPr>
      <w:r>
        <w:t>Diseñar, simular, transpilar y ejecutar circuitos cuánticos reproducibles.</w:t>
      </w:r>
    </w:p>
    <w:p>
      <w:pPr>
        <w:pStyle w:val="ListBullet"/>
        <w:spacing w:after="40"/>
      </w:pPr>
      <w:r>
        <w:t>Explicar e implementar algoritmos fundamentales y variacionales.</w:t>
      </w:r>
    </w:p>
    <w:p>
      <w:pPr>
        <w:pStyle w:val="ListBullet"/>
        <w:spacing w:after="40"/>
      </w:pPr>
      <w:r>
        <w:t>Analizar ruido, limitaciones de hardware y técnicas de mitigación/corrección.</w:t>
      </w:r>
    </w:p>
    <w:p>
      <w:pPr>
        <w:pStyle w:val="ListBullet"/>
        <w:spacing w:after="40"/>
      </w:pPr>
      <w:r>
        <w:t>Comparar una propuesta cuántica con un baseline clásico sin exagerar resultados.</w:t>
      </w:r>
    </w:p>
    <w:p>
      <w:pPr>
        <w:pStyle w:val="ListBullet"/>
        <w:spacing w:after="40"/>
      </w:pPr>
      <w:r>
        <w:t>Comunicar decisiones técnicas, riesgos, costos y oportunidades a públicos diversos.</w:t>
      </w:r>
    </w:p>
    <w:p>
      <w:pPr>
        <w:pStyle w:val="Heading2"/>
      </w:pPr>
      <w:r>
        <w:t>Cómo estudiar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shd w:fill="102747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1 · Comprender</w:t>
              <w:br/>
              <w:t>Lección y lectura</w:t>
            </w:r>
          </w:p>
        </w:tc>
        <w:tc>
          <w:tcPr>
            <w:tcW w:type="dxa" w:w="2436"/>
            <w:vAlign w:val="center"/>
            <w:shd w:fill="102747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2 · Derivar</w:t>
              <w:br/>
              <w:t>Ejercicios y fórmulas</w:t>
            </w:r>
          </w:p>
        </w:tc>
        <w:tc>
          <w:tcPr>
            <w:tcW w:type="dxa" w:w="2436"/>
            <w:vAlign w:val="center"/>
            <w:shd w:fill="102747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3 · Construir</w:t>
              <w:br/>
              <w:t>Notebook o circuito</w:t>
            </w:r>
          </w:p>
        </w:tc>
        <w:tc>
          <w:tcPr>
            <w:tcW w:type="dxa" w:w="2436"/>
            <w:vAlign w:val="center"/>
            <w:shd w:fill="102747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4 · Reflexionar</w:t>
              <w:br/>
              <w:t>Resultados y límites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ptos" w:hAnsi="Aptos"/>
          <w:b/>
          <w:color w:val="526DFF"/>
          <w:sz w:val="16"/>
        </w:rPr>
        <w:t>MAPA DEL PROGRAMA</w:t>
      </w:r>
    </w:p>
    <w:p>
      <w:pPr>
        <w:pStyle w:val="Heading1"/>
      </w:pPr>
      <w:r>
        <w:t>Seis niveles, una progresión coherente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vAlign w:val="center"/>
            <w:shd w:fill="071426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Nivel</w:t>
            </w:r>
          </w:p>
        </w:tc>
        <w:tc>
          <w:tcPr>
            <w:tcW w:type="dxa" w:w="2436"/>
            <w:vAlign w:val="center"/>
            <w:shd w:fill="071426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Enfoque</w:t>
            </w:r>
          </w:p>
        </w:tc>
        <w:tc>
          <w:tcPr>
            <w:tcW w:type="dxa" w:w="2436"/>
            <w:vAlign w:val="center"/>
            <w:shd w:fill="071426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Horas</w:t>
            </w:r>
          </w:p>
        </w:tc>
        <w:tc>
          <w:tcPr>
            <w:tcW w:type="dxa" w:w="2436"/>
            <w:vAlign w:val="center"/>
            <w:shd w:fill="071426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Resultado</w:t>
            </w:r>
          </w:p>
        </w:tc>
      </w:tr>
      <w:tr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Nivel 1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Fundamentos: pensar en cuántico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18 horas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Pensar y calcular con qubits</w:t>
            </w:r>
          </w:p>
        </w:tc>
      </w:tr>
      <w:tr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Nivel 2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Circuitos y entrelazamiento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22 horas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Construir circuitos entrelazados</w:t>
            </w:r>
          </w:p>
        </w:tc>
      </w:tr>
      <w:tr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Nivel 3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Algoritmos cuánticos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28 horas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Implementar algoritmos</w:t>
            </w:r>
          </w:p>
        </w:tc>
      </w:tr>
      <w:tr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Nivel 4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Era NISQ y algoritmos híbridos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26 horas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Trabajar con ruido y ciclos híbridos</w:t>
            </w:r>
          </w:p>
        </w:tc>
      </w:tr>
      <w:tr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Nivel 5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Ingeniería cuántica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26 horas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Ejecutar con criterio de ingeniería</w:t>
            </w:r>
          </w:p>
        </w:tc>
      </w:tr>
      <w:tr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Nivel 6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Experto y proyecto final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24 horas</w:t>
            </w:r>
          </w:p>
        </w:tc>
        <w:tc>
          <w:tcPr>
            <w:tcW w:type="dxa" w:w="2436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Defender una solución completa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ptos" w:hAnsi="Aptos"/>
          <w:b/>
          <w:color w:val="20B98A"/>
          <w:sz w:val="16"/>
        </w:rPr>
        <w:t>NIVEL 1 · 18 HORAS</w:t>
      </w:r>
    </w:p>
    <w:p>
      <w:pPr>
        <w:pStyle w:val="Heading1"/>
        <w:pBdr>
          <w:bottom w:val="single" w:sz="18" w:space="8" w:color="20B98A"/>
        </w:pBdr>
      </w:pPr>
      <w:r>
        <w:t>Fundamentos: pensar en cuántico</w:t>
      </w:r>
    </w:p>
    <w:p>
      <w:pPr>
        <w:pStyle w:val="Heading2"/>
      </w:pPr>
      <w:r>
        <w:t>Módulo 01 · El mundo cuántico</w:t>
      </w:r>
    </w:p>
    <w:p>
      <w:r>
        <w:rPr>
          <w:b/>
        </w:rPr>
        <w:t xml:space="preserve">Objetivo. </w:t>
      </w:r>
      <w:r>
        <w:t>Distinguir información clásica y cuántica, construyendo una intuición correcta sobre superposición, interferencia y medición.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Bit, probabilidad y modelo de cómputo</w:t>
      </w:r>
    </w:p>
    <w:p>
      <w:pPr>
        <w:pStyle w:val="ListBullet"/>
        <w:spacing w:after="40"/>
      </w:pPr>
      <w:r>
        <w:t>Superposición e interferencia</w:t>
      </w:r>
    </w:p>
    <w:p>
      <w:pPr>
        <w:pStyle w:val="ListBullet"/>
        <w:spacing w:after="40"/>
      </w:pPr>
      <w:r>
        <w:t>Medición y colapso como modelo operacional</w:t>
      </w:r>
    </w:p>
    <w:p>
      <w:pPr>
        <w:pStyle w:val="ListBullet"/>
        <w:spacing w:after="40"/>
      </w:pPr>
      <w:r>
        <w:t>Casos de uso, promesas y límites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Simulador visual de un qubit y experimento de doble rendija conceptual.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Mapa comparativo: computación clásica vs. cuántica.</w:t>
            </w:r>
          </w:p>
        </w:tc>
      </w:tr>
    </w:tbl>
    <w:p/>
    <w:p>
      <w:pPr>
        <w:pStyle w:val="Heading2"/>
      </w:pPr>
      <w:r>
        <w:t>Módulo 02 · Vectores y números complejos</w:t>
      </w:r>
    </w:p>
    <w:p>
      <w:r>
        <w:rPr>
          <w:b/>
        </w:rPr>
        <w:t xml:space="preserve">Objetivo. </w:t>
      </w:r>
      <w:r>
        <w:t>Dominar la matemática mínima necesaria para representar estados y transformaciones cuánticas.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Vectores, norma y bases</w:t>
      </w:r>
    </w:p>
    <w:p>
      <w:pPr>
        <w:pStyle w:val="ListBullet"/>
        <w:spacing w:after="40"/>
      </w:pPr>
      <w:r>
        <w:t>Producto interno y ortogonalidad</w:t>
      </w:r>
    </w:p>
    <w:p>
      <w:pPr>
        <w:pStyle w:val="ListBullet"/>
        <w:spacing w:after="40"/>
      </w:pPr>
      <w:r>
        <w:t>Números complejos, módulo y fase</w:t>
      </w:r>
    </w:p>
    <w:p>
      <w:pPr>
        <w:pStyle w:val="ListBullet"/>
        <w:spacing w:after="40"/>
      </w:pPr>
      <w:r>
        <w:t>Notación de Dirac: kets, bras y proyectores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Representar estados y calcular probabilidades con Python/NumPy.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Notebook con operaciones vectoriales verificadas.</w:t>
            </w:r>
          </w:p>
        </w:tc>
      </w:tr>
    </w:tbl>
    <w:p/>
    <w:p>
      <w:pPr>
        <w:pStyle w:val="Heading2"/>
      </w:pPr>
      <w:r>
        <w:t>Módulo 03 · Qubits y esfera de Bloch</w:t>
      </w:r>
    </w:p>
    <w:p>
      <w:r>
        <w:rPr>
          <w:b/>
        </w:rPr>
        <w:t xml:space="preserve">Objetivo. </w:t>
      </w:r>
      <w:r>
        <w:t>Interpretar amplitudes, fase relativa y mediciones de un qubit en distintas bases.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Estado |ψ⟩ = α|0⟩ + β|1⟩</w:t>
      </w:r>
    </w:p>
    <w:p>
      <w:pPr>
        <w:pStyle w:val="ListBullet"/>
        <w:spacing w:after="40"/>
      </w:pPr>
      <w:r>
        <w:t>Normalización y regla de Born</w:t>
      </w:r>
    </w:p>
    <w:p>
      <w:pPr>
        <w:pStyle w:val="ListBullet"/>
        <w:spacing w:after="40"/>
      </w:pPr>
      <w:r>
        <w:t>Esfera de Bloch</w:t>
      </w:r>
    </w:p>
    <w:p>
      <w:pPr>
        <w:pStyle w:val="ListBullet"/>
        <w:spacing w:after="40"/>
      </w:pPr>
      <w:r>
        <w:t>Bases X, Y y 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Preparar y medir seis estados canónicos.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Proyecto 1: visualizador de estados de un qubit.</w:t>
            </w:r>
          </w:p>
        </w:tc>
      </w:tr>
    </w:tbl>
    <w:p/>
    <w:p>
      <w:r>
        <w:br w:type="page"/>
      </w:r>
    </w:p>
    <w:p>
      <w:pPr>
        <w:spacing w:after="80"/>
      </w:pPr>
      <w:r>
        <w:rPr>
          <w:rFonts w:ascii="Aptos" w:hAnsi="Aptos"/>
          <w:b/>
          <w:color w:val="20B98A"/>
          <w:sz w:val="16"/>
        </w:rPr>
        <w:t>NIVEL 2 · 22 HORAS</w:t>
      </w:r>
    </w:p>
    <w:p>
      <w:pPr>
        <w:pStyle w:val="Heading1"/>
        <w:pBdr>
          <w:bottom w:val="single" w:sz="18" w:space="8" w:color="20B98A"/>
        </w:pBdr>
      </w:pPr>
      <w:r>
        <w:t>Circuitos y entrelazamiento</w:t>
      </w:r>
    </w:p>
    <w:p>
      <w:pPr>
        <w:pStyle w:val="Heading2"/>
      </w:pPr>
      <w:r>
        <w:t>Módulo 04 · Operadores cuánticos</w:t>
      </w:r>
    </w:p>
    <w:p>
      <w:r>
        <w:rPr>
          <w:b/>
        </w:rPr>
        <w:t xml:space="preserve">Objetivo. </w:t>
      </w:r>
      <w:r>
        <w:t>Aplicar puertas unitarias y razonar su efecto geométrico y matricial.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Unitariedad y reversibilidad</w:t>
      </w:r>
    </w:p>
    <w:p>
      <w:pPr>
        <w:pStyle w:val="ListBullet"/>
        <w:spacing w:after="40"/>
      </w:pPr>
      <w:r>
        <w:t>Puertas X, Y, Z y H</w:t>
      </w:r>
    </w:p>
    <w:p>
      <w:pPr>
        <w:pStyle w:val="ListBullet"/>
        <w:spacing w:after="40"/>
      </w:pPr>
      <w:r>
        <w:t>Fase: S y T</w:t>
      </w:r>
    </w:p>
    <w:p>
      <w:pPr>
        <w:pStyle w:val="ListBullet"/>
        <w:spacing w:after="40"/>
      </w:pPr>
      <w:r>
        <w:t>Rotaciones RX, RY y RZ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Construir una biblioteca mínima de puertas mediante matrices.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Tabla de estados antes/después y validación numérica.</w:t>
            </w:r>
          </w:p>
        </w:tc>
      </w:tr>
    </w:tbl>
    <w:p/>
    <w:p>
      <w:pPr>
        <w:pStyle w:val="Heading2"/>
      </w:pPr>
      <w:r>
        <w:t>Módulo 05 · Registros y producto tensorial</w:t>
      </w:r>
    </w:p>
    <w:p>
      <w:r>
        <w:rPr>
          <w:b/>
        </w:rPr>
        <w:t xml:space="preserve">Objetivo. </w:t>
      </w:r>
      <w:r>
        <w:t>Construir circuitos de varios qubits y leer correctamente sus estados compuestos.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Producto tensorial</w:t>
      </w:r>
    </w:p>
    <w:p>
      <w:pPr>
        <w:pStyle w:val="ListBullet"/>
        <w:spacing w:after="40"/>
      </w:pPr>
      <w:r>
        <w:t>Base computacional de n qubits</w:t>
      </w:r>
    </w:p>
    <w:p>
      <w:pPr>
        <w:pStyle w:val="ListBullet"/>
        <w:spacing w:after="40"/>
      </w:pPr>
      <w:r>
        <w:t>Puertas CNOT, CZ y SWAP</w:t>
      </w:r>
    </w:p>
    <w:p>
      <w:pPr>
        <w:pStyle w:val="ListBullet"/>
        <w:spacing w:after="40"/>
      </w:pPr>
      <w:r>
        <w:t>Separabilidad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Simular registros de dos y tres qubits.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Notebook con circuitos controlados y mediciones.</w:t>
            </w:r>
          </w:p>
        </w:tc>
      </w:tr>
    </w:tbl>
    <w:p/>
    <w:p>
      <w:pPr>
        <w:pStyle w:val="Heading2"/>
      </w:pPr>
      <w:r>
        <w:t>Módulo 06 · Entrelazamiento y Bell</w:t>
      </w:r>
    </w:p>
    <w:p>
      <w:r>
        <w:rPr>
          <w:b/>
        </w:rPr>
        <w:t xml:space="preserve">Objetivo. </w:t>
      </w:r>
      <w:r>
        <w:t>Explicar, crear y verificar correlaciones cuánticas sin equivalente clásico.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Estados de Bell</w:t>
      </w:r>
    </w:p>
    <w:p>
      <w:pPr>
        <w:pStyle w:val="ListBullet"/>
        <w:spacing w:after="40"/>
      </w:pPr>
      <w:r>
        <w:t>Correlación vs. causalidad</w:t>
      </w:r>
    </w:p>
    <w:p>
      <w:pPr>
        <w:pStyle w:val="ListBullet"/>
        <w:spacing w:after="40"/>
      </w:pPr>
      <w:r>
        <w:t>Desigualdades de Bell</w:t>
      </w:r>
    </w:p>
    <w:p>
      <w:pPr>
        <w:pStyle w:val="ListBullet"/>
        <w:spacing w:after="40"/>
      </w:pPr>
      <w:r>
        <w:t>Teorema de no clonación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Generar pares Bell y estudiar correlaciones por shots.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Proyecto 2: analizador de estados de Bell.</w:t>
            </w:r>
          </w:p>
        </w:tc>
      </w:tr>
    </w:tbl>
    <w:p/>
    <w:p>
      <w:r>
        <w:br w:type="page"/>
      </w:r>
    </w:p>
    <w:p>
      <w:pPr>
        <w:spacing w:after="80"/>
      </w:pPr>
      <w:r>
        <w:rPr>
          <w:rFonts w:ascii="Aptos" w:hAnsi="Aptos"/>
          <w:b/>
          <w:color w:val="20B98A"/>
          <w:sz w:val="16"/>
        </w:rPr>
        <w:t>NIVEL 3 · 28 HORAS</w:t>
      </w:r>
    </w:p>
    <w:p>
      <w:pPr>
        <w:pStyle w:val="Heading1"/>
        <w:pBdr>
          <w:bottom w:val="single" w:sz="18" w:space="8" w:color="20B98A"/>
        </w:pBdr>
      </w:pPr>
      <w:r>
        <w:t>Algoritmos cuánticos</w:t>
      </w:r>
    </w:p>
    <w:p>
      <w:pPr>
        <w:pStyle w:val="Heading2"/>
      </w:pPr>
      <w:r>
        <w:t>Módulo 07 · Oráculos e interferencia</w:t>
      </w:r>
    </w:p>
    <w:p>
      <w:r>
        <w:rPr>
          <w:b/>
        </w:rPr>
        <w:t xml:space="preserve">Objetivo. </w:t>
      </w:r>
      <w:r>
        <w:t>Reconocer el patrón de interferencia que permite extraer información global con menos consultas.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Oráculos reversibles</w:t>
      </w:r>
    </w:p>
    <w:p>
      <w:pPr>
        <w:pStyle w:val="ListBullet"/>
        <w:spacing w:after="40"/>
      </w:pPr>
      <w:r>
        <w:t>Phase kickback</w:t>
      </w:r>
    </w:p>
    <w:p>
      <w:pPr>
        <w:pStyle w:val="ListBullet"/>
        <w:spacing w:after="40"/>
      </w:pPr>
      <w:r>
        <w:t>Deutsch–Jozsa</w:t>
      </w:r>
    </w:p>
    <w:p>
      <w:pPr>
        <w:pStyle w:val="ListBullet"/>
        <w:spacing w:after="40"/>
      </w:pPr>
      <w:r>
        <w:t>Bernstein–Vazirani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Implementar ambos algoritmos y comparar consultas.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Reporte de complejidad y resultados experimentales.</w:t>
            </w:r>
          </w:p>
        </w:tc>
      </w:tr>
    </w:tbl>
    <w:p/>
    <w:p>
      <w:pPr>
        <w:pStyle w:val="Heading2"/>
      </w:pPr>
      <w:r>
        <w:t>Módulo 08 · QFT y estimación de fase</w:t>
      </w:r>
    </w:p>
    <w:p>
      <w:r>
        <w:rPr>
          <w:b/>
        </w:rPr>
        <w:t xml:space="preserve">Objetivo. </w:t>
      </w:r>
      <w:r>
        <w:t>Comprender la transformada de Fourier cuántica y su papel en la estimación de autovalores.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QFT discreta</w:t>
      </w:r>
    </w:p>
    <w:p>
      <w:pPr>
        <w:pStyle w:val="ListBullet"/>
        <w:spacing w:after="40"/>
      </w:pPr>
      <w:r>
        <w:t>Rotaciones controladas</w:t>
      </w:r>
    </w:p>
    <w:p>
      <w:pPr>
        <w:pStyle w:val="ListBullet"/>
        <w:spacing w:after="40"/>
      </w:pPr>
      <w:r>
        <w:t>QFT inversa</w:t>
      </w:r>
    </w:p>
    <w:p>
      <w:pPr>
        <w:pStyle w:val="ListBullet"/>
        <w:spacing w:after="40"/>
      </w:pPr>
      <w:r>
        <w:t>Estimación de fase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Construir QFT de tres qubits paso a paso.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Circuito explicado y análisis de precisión.</w:t>
            </w:r>
          </w:p>
        </w:tc>
      </w:tr>
    </w:tbl>
    <w:p/>
    <w:p>
      <w:pPr>
        <w:pStyle w:val="Heading2"/>
      </w:pPr>
      <w:r>
        <w:t>Módulo 09 · Grover y amplificación de amplitud</w:t>
      </w:r>
    </w:p>
    <w:p>
      <w:r>
        <w:rPr>
          <w:b/>
        </w:rPr>
        <w:t xml:space="preserve">Objetivo. </w:t>
      </w:r>
      <w:r>
        <w:t>Implementar búsqueda no estructurada y justificar su ventaja cuadrática.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Oráculo de marcado</w:t>
      </w:r>
    </w:p>
    <w:p>
      <w:pPr>
        <w:pStyle w:val="ListBullet"/>
        <w:spacing w:after="40"/>
      </w:pPr>
      <w:r>
        <w:t>Difusor</w:t>
      </w:r>
    </w:p>
    <w:p>
      <w:pPr>
        <w:pStyle w:val="ListBullet"/>
        <w:spacing w:after="40"/>
      </w:pPr>
      <w:r>
        <w:t>Rotación en subespacio</w:t>
      </w:r>
    </w:p>
    <w:p>
      <w:pPr>
        <w:pStyle w:val="ListBullet"/>
        <w:spacing w:after="40"/>
      </w:pPr>
      <w:r>
        <w:t>Número óptimo de iteraciones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Buscar estados marcados en espacios pequeños.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Proyecto 3: resolver un problema de búsqueda con Grover.</w:t>
            </w:r>
          </w:p>
        </w:tc>
      </w:tr>
    </w:tbl>
    <w:p/>
    <w:p>
      <w:r>
        <w:br w:type="page"/>
      </w:r>
    </w:p>
    <w:p>
      <w:pPr>
        <w:spacing w:after="80"/>
      </w:pPr>
      <w:r>
        <w:rPr>
          <w:rFonts w:ascii="Aptos" w:hAnsi="Aptos"/>
          <w:b/>
          <w:color w:val="20B98A"/>
          <w:sz w:val="16"/>
        </w:rPr>
        <w:t>NIVEL 4 · 26 HORAS</w:t>
      </w:r>
    </w:p>
    <w:p>
      <w:pPr>
        <w:pStyle w:val="Heading1"/>
        <w:pBdr>
          <w:bottom w:val="single" w:sz="18" w:space="8" w:color="20B98A"/>
        </w:pBdr>
      </w:pPr>
      <w:r>
        <w:t>Era NISQ y algoritmos híbridos</w:t>
      </w:r>
    </w:p>
    <w:p>
      <w:pPr>
        <w:pStyle w:val="Heading2"/>
      </w:pPr>
      <w:r>
        <w:t>Módulo 10 · Ruido, canales y mitigación</w:t>
      </w:r>
    </w:p>
    <w:p>
      <w:r>
        <w:rPr>
          <w:b/>
        </w:rPr>
        <w:t xml:space="preserve">Objetivo. </w:t>
      </w:r>
      <w:r>
        <w:t>Modelar ruido y evaluar técnicas que mejoran resultados sin corrección completa de errores.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Estados mixtos y matriz densidad</w:t>
      </w:r>
    </w:p>
    <w:p>
      <w:pPr>
        <w:pStyle w:val="ListBullet"/>
        <w:spacing w:after="40"/>
      </w:pPr>
      <w:r>
        <w:t>Despolarización y damping</w:t>
      </w:r>
    </w:p>
    <w:p>
      <w:pPr>
        <w:pStyle w:val="ListBullet"/>
        <w:spacing w:after="40"/>
      </w:pPr>
      <w:r>
        <w:t>Errores de lectura</w:t>
      </w:r>
    </w:p>
    <w:p>
      <w:pPr>
        <w:pStyle w:val="ListBullet"/>
        <w:spacing w:after="40"/>
      </w:pPr>
      <w:r>
        <w:t>Mitigación y extrapolación a ruido cero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Comparar un circuito ideal con modelos ruidosos.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Informe de sensibilidad al ruido.</w:t>
            </w:r>
          </w:p>
        </w:tc>
      </w:tr>
    </w:tbl>
    <w:p/>
    <w:p>
      <w:pPr>
        <w:pStyle w:val="Heading2"/>
      </w:pPr>
      <w:r>
        <w:t>Módulo 11 · VQE y simulación cuántica</w:t>
      </w:r>
    </w:p>
    <w:p>
      <w:r>
        <w:rPr>
          <w:b/>
        </w:rPr>
        <w:t xml:space="preserve">Objetivo. </w:t>
      </w:r>
      <w:r>
        <w:t>Construir un ciclo variacional para aproximar el estado fundamental de un Hamiltoniano.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Hamiltonianos y valores esperados</w:t>
      </w:r>
    </w:p>
    <w:p>
      <w:pPr>
        <w:pStyle w:val="ListBullet"/>
        <w:spacing w:after="40"/>
      </w:pPr>
      <w:r>
        <w:t>Ansatz</w:t>
      </w:r>
    </w:p>
    <w:p>
      <w:pPr>
        <w:pStyle w:val="ListBullet"/>
        <w:spacing w:after="40"/>
      </w:pPr>
      <w:r>
        <w:t>Optimizadores clásicos</w:t>
      </w:r>
    </w:p>
    <w:p>
      <w:pPr>
        <w:pStyle w:val="ListBullet"/>
        <w:spacing w:after="40"/>
      </w:pPr>
      <w:r>
        <w:t>Barren plateaus y trade-offs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Estimar la energía del H₂ con VQE.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Curva de convergencia y análisis del ansatz.</w:t>
            </w:r>
          </w:p>
        </w:tc>
      </w:tr>
    </w:tbl>
    <w:p/>
    <w:p>
      <w:pPr>
        <w:pStyle w:val="Heading2"/>
      </w:pPr>
      <w:r>
        <w:t>Módulo 12 · QAOA y optimización</w:t>
      </w:r>
    </w:p>
    <w:p>
      <w:r>
        <w:rPr>
          <w:b/>
        </w:rPr>
        <w:t xml:space="preserve">Objetivo. </w:t>
      </w:r>
      <w:r>
        <w:t>Traducir problemas combinatorios a una formulación apta para un algoritmo híbrido.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QUBO e Ising</w:t>
      </w:r>
    </w:p>
    <w:p>
      <w:pPr>
        <w:pStyle w:val="ListBullet"/>
        <w:spacing w:after="40"/>
      </w:pPr>
      <w:r>
        <w:t>Hamiltoniano de costo</w:t>
      </w:r>
    </w:p>
    <w:p>
      <w:pPr>
        <w:pStyle w:val="ListBullet"/>
        <w:spacing w:after="40"/>
      </w:pPr>
      <w:r>
        <w:t>Capas de mezcla</w:t>
      </w:r>
    </w:p>
    <w:p>
      <w:pPr>
        <w:pStyle w:val="ListBullet"/>
        <w:spacing w:after="40"/>
      </w:pPr>
      <w:r>
        <w:t>Evaluación contra baseline clásico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Resolver una instancia pequeña de Max-Cut.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Proyecto 4: optimización de una red con QAOA.</w:t>
            </w:r>
          </w:p>
        </w:tc>
      </w:tr>
    </w:tbl>
    <w:p/>
    <w:p>
      <w:r>
        <w:br w:type="page"/>
      </w:r>
    </w:p>
    <w:p>
      <w:pPr>
        <w:spacing w:after="80"/>
      </w:pPr>
      <w:r>
        <w:rPr>
          <w:rFonts w:ascii="Aptos" w:hAnsi="Aptos"/>
          <w:b/>
          <w:color w:val="20B98A"/>
          <w:sz w:val="16"/>
        </w:rPr>
        <w:t>NIVEL 5 · 26 HORAS</w:t>
      </w:r>
    </w:p>
    <w:p>
      <w:pPr>
        <w:pStyle w:val="Heading1"/>
        <w:pBdr>
          <w:bottom w:val="single" w:sz="18" w:space="8" w:color="20B98A"/>
        </w:pBdr>
      </w:pPr>
      <w:r>
        <w:t>Ingeniería cuántica</w:t>
      </w:r>
    </w:p>
    <w:p>
      <w:pPr>
        <w:pStyle w:val="Heading2"/>
      </w:pPr>
      <w:r>
        <w:t>Módulo 13 · Tecnologías de hardware</w:t>
      </w:r>
    </w:p>
    <w:p>
      <w:r>
        <w:rPr>
          <w:b/>
        </w:rPr>
        <w:t xml:space="preserve">Objetivo. </w:t>
      </w:r>
      <w:r>
        <w:t>Comparar modalidades de qubits usando métricas relevantes para una carga de trabajo.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Qubits superconductores</w:t>
      </w:r>
    </w:p>
    <w:p>
      <w:pPr>
        <w:pStyle w:val="ListBullet"/>
        <w:spacing w:after="40"/>
      </w:pPr>
      <w:r>
        <w:t>Iones atrapados</w:t>
      </w:r>
    </w:p>
    <w:p>
      <w:pPr>
        <w:pStyle w:val="ListBullet"/>
        <w:spacing w:after="40"/>
      </w:pPr>
      <w:r>
        <w:t>Fotónica y átomos neutros</w:t>
      </w:r>
    </w:p>
    <w:p>
      <w:pPr>
        <w:pStyle w:val="ListBullet"/>
        <w:spacing w:after="40"/>
      </w:pPr>
      <w:r>
        <w:t>Fidelidad, conectividad, T₁ y T₂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Matriz de decisión de hardware por caso de uso.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Recomendación técnica argumentada.</w:t>
            </w:r>
          </w:p>
        </w:tc>
      </w:tr>
    </w:tbl>
    <w:p/>
    <w:p>
      <w:pPr>
        <w:pStyle w:val="Heading2"/>
      </w:pPr>
      <w:r>
        <w:t>Módulo 14 · Transpilación y ejecución</w:t>
      </w:r>
    </w:p>
    <w:p>
      <w:r>
        <w:rPr>
          <w:b/>
        </w:rPr>
        <w:t xml:space="preserve">Objetivo. </w:t>
      </w:r>
      <w:r>
        <w:t>Mapear circuitos abstractos a restricciones reales de un dispositivo.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Conjuntos de puertas nativas</w:t>
      </w:r>
    </w:p>
    <w:p>
      <w:pPr>
        <w:pStyle w:val="ListBullet"/>
        <w:spacing w:after="40"/>
      </w:pPr>
      <w:r>
        <w:t>Routing y SWAPs</w:t>
      </w:r>
    </w:p>
    <w:p>
      <w:pPr>
        <w:pStyle w:val="ListBullet"/>
        <w:spacing w:after="40"/>
      </w:pPr>
      <w:r>
        <w:t>Profundidad y optimización</w:t>
      </w:r>
    </w:p>
    <w:p>
      <w:pPr>
        <w:pStyle w:val="ListBullet"/>
        <w:spacing w:after="40"/>
      </w:pPr>
      <w:r>
        <w:t>Shots, jobs y estadística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Transpilar el mismo circuito para distintas topologías.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Comparación de profundidad, puertas y resultados.</w:t>
            </w:r>
          </w:p>
        </w:tc>
      </w:tr>
    </w:tbl>
    <w:p/>
    <w:p>
      <w:pPr>
        <w:pStyle w:val="Heading2"/>
      </w:pPr>
      <w:r>
        <w:t>Módulo 15 · Benchmarking y estimación de recursos</w:t>
      </w:r>
    </w:p>
    <w:p>
      <w:r>
        <w:rPr>
          <w:b/>
        </w:rPr>
        <w:t xml:space="preserve">Objetivo. </w:t>
      </w:r>
      <w:r>
        <w:t>Medir capacidad cuántica sin confundir métricas técnicas con valor empresarial.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Fidelidad y error</w:t>
      </w:r>
    </w:p>
    <w:p>
      <w:pPr>
        <w:pStyle w:val="ListBullet"/>
        <w:spacing w:after="40"/>
      </w:pPr>
      <w:r>
        <w:t>Volumen cuántico y métricas de rendimiento</w:t>
      </w:r>
    </w:p>
    <w:p>
      <w:pPr>
        <w:pStyle w:val="ListBullet"/>
        <w:spacing w:after="40"/>
      </w:pPr>
      <w:r>
        <w:t>Estimación de qubits lógicos/físicos</w:t>
      </w:r>
    </w:p>
    <w:p>
      <w:pPr>
        <w:pStyle w:val="ListBullet"/>
        <w:spacing w:after="40"/>
      </w:pPr>
      <w:r>
        <w:t>Ventaja teórica, práctica y económica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Evaluar la viabilidad de un caso de uso.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Proyecto 5: informe de viabilidad cuántica.</w:t>
            </w:r>
          </w:p>
        </w:tc>
      </w:tr>
    </w:tbl>
    <w:p/>
    <w:p>
      <w:r>
        <w:br w:type="page"/>
      </w:r>
    </w:p>
    <w:p>
      <w:pPr>
        <w:spacing w:after="80"/>
      </w:pPr>
      <w:r>
        <w:rPr>
          <w:rFonts w:ascii="Aptos" w:hAnsi="Aptos"/>
          <w:b/>
          <w:color w:val="20B98A"/>
          <w:sz w:val="16"/>
        </w:rPr>
        <w:t>NIVEL 6 · 24 HORAS</w:t>
      </w:r>
    </w:p>
    <w:p>
      <w:pPr>
        <w:pStyle w:val="Heading1"/>
        <w:pBdr>
          <w:bottom w:val="single" w:sz="18" w:space="8" w:color="20B98A"/>
        </w:pBdr>
      </w:pPr>
      <w:r>
        <w:t>Experto y proyecto final</w:t>
      </w:r>
    </w:p>
    <w:p>
      <w:pPr>
        <w:pStyle w:val="Heading2"/>
      </w:pPr>
      <w:r>
        <w:t>Módulo 16 · Corrección de errores</w:t>
      </w:r>
    </w:p>
    <w:p>
      <w:r>
        <w:rPr>
          <w:b/>
        </w:rPr>
        <w:t xml:space="preserve">Objetivo. </w:t>
      </w:r>
      <w:r>
        <w:t>Explicar cómo la redundancia cuántica protege información sin violar no clonación.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Errores X, Z y Y</w:t>
      </w:r>
    </w:p>
    <w:p>
      <w:pPr>
        <w:pStyle w:val="ListBullet"/>
        <w:spacing w:after="40"/>
      </w:pPr>
      <w:r>
        <w:t>Síndromes y estabilizadores</w:t>
      </w:r>
    </w:p>
    <w:p>
      <w:pPr>
        <w:pStyle w:val="ListBullet"/>
        <w:spacing w:after="40"/>
      </w:pPr>
      <w:r>
        <w:t>Códigos de repetición</w:t>
      </w:r>
    </w:p>
    <w:p>
      <w:pPr>
        <w:pStyle w:val="ListBullet"/>
        <w:spacing w:after="40"/>
      </w:pPr>
      <w:r>
        <w:t>Surface code y umbral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Implementar un código de repetición de tres qubits.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Análisis de corrección bajo distintos errores.</w:t>
            </w:r>
          </w:p>
        </w:tc>
      </w:tr>
    </w:tbl>
    <w:p/>
    <w:p>
      <w:pPr>
        <w:pStyle w:val="Heading2"/>
      </w:pPr>
      <w:r>
        <w:t>Módulo 17 · Shor y seguridad poscuántica</w:t>
      </w:r>
    </w:p>
    <w:p>
      <w:r>
        <w:rPr>
          <w:b/>
        </w:rPr>
        <w:t xml:space="preserve">Objetivo. </w:t>
      </w:r>
      <w:r>
        <w:t>Relacionar factorización, búsqueda de período y riesgo criptográfico con una transición responsable.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Order finding</w:t>
      </w:r>
    </w:p>
    <w:p>
      <w:pPr>
        <w:pStyle w:val="ListBullet"/>
        <w:spacing w:after="40"/>
      </w:pPr>
      <w:r>
        <w:t>QFT dentro de Shor</w:t>
      </w:r>
    </w:p>
    <w:p>
      <w:pPr>
        <w:pStyle w:val="ListBullet"/>
        <w:spacing w:after="40"/>
      </w:pPr>
      <w:r>
        <w:t>Recursos a escala</w:t>
      </w:r>
    </w:p>
    <w:p>
      <w:pPr>
        <w:pStyle w:val="ListBullet"/>
        <w:spacing w:after="40"/>
      </w:pPr>
      <w:r>
        <w:t>Criptografía poscuántica y migración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Demostración pequeña de búsqueda de orden.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Plan básico de inventario y transición criptográfica.</w:t>
            </w:r>
          </w:p>
        </w:tc>
      </w:tr>
    </w:tbl>
    <w:p/>
    <w:p>
      <w:pPr>
        <w:pStyle w:val="Heading2"/>
      </w:pPr>
      <w:r>
        <w:t>Módulo 18 · Capstone: solución cuántica</w:t>
      </w:r>
    </w:p>
    <w:p>
      <w:r>
        <w:rPr>
          <w:b/>
        </w:rPr>
        <w:t xml:space="preserve">Objetivo. </w:t>
      </w:r>
      <w:r>
        <w:t>Diseñar, implementar y defender una solución completa con comparación clásica y límites explícitos.</w:t>
      </w:r>
    </w:p>
    <w:p>
      <w:r>
        <w:rPr>
          <w:b/>
          <w:color w:val="526DFF"/>
        </w:rPr>
        <w:t>Conceptos clave</w:t>
      </w:r>
    </w:p>
    <w:p>
      <w:pPr>
        <w:pStyle w:val="ListBullet"/>
        <w:spacing w:after="40"/>
      </w:pPr>
      <w:r>
        <w:t>Definición del problema</w:t>
      </w:r>
    </w:p>
    <w:p>
      <w:pPr>
        <w:pStyle w:val="ListBullet"/>
        <w:spacing w:after="40"/>
      </w:pPr>
      <w:r>
        <w:t>Selección de algoritmo y hardware</w:t>
      </w:r>
    </w:p>
    <w:p>
      <w:pPr>
        <w:pStyle w:val="ListBullet"/>
        <w:spacing w:after="40"/>
      </w:pPr>
      <w:r>
        <w:t>Experimentos reproducibles</w:t>
      </w:r>
    </w:p>
    <w:p>
      <w:pPr>
        <w:pStyle w:val="ListBullet"/>
        <w:spacing w:after="40"/>
      </w:pPr>
      <w:r>
        <w:t>Comunicación técnica y ética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AF0FF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</w:t>
              <w:br/>
              <w:t>Mentoría de proyecto y revisión por hitos.</w:t>
            </w:r>
          </w:p>
        </w:tc>
        <w:tc>
          <w:tcPr>
            <w:tcW w:type="dxa" w:w="4873"/>
            <w:vAlign w:val="center"/>
            <w:shd w:fill="E7F8F3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EVIDENCIA</w:t>
              <w:br/>
              <w:t>Proyecto 6: propuesta, notebook, informe y defensa.</w:t>
            </w:r>
          </w:p>
        </w:tc>
      </w:tr>
    </w:tbl>
    <w:p/>
    <w:p>
      <w:r>
        <w:br w:type="page"/>
      </w:r>
    </w:p>
    <w:p>
      <w:pPr>
        <w:spacing w:after="80"/>
      </w:pPr>
      <w:r>
        <w:rPr>
          <w:rFonts w:ascii="Aptos" w:hAnsi="Aptos"/>
          <w:b/>
          <w:color w:val="526DFF"/>
          <w:sz w:val="16"/>
        </w:rPr>
        <w:t>PLAN DE IMPLEMENTACIÓN</w:t>
      </w:r>
    </w:p>
    <w:p>
      <w:pPr>
        <w:pStyle w:val="Heading1"/>
      </w:pPr>
      <w:r>
        <w:t>Calendario sugerido de 20 semanas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071426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Semana</w:t>
            </w:r>
          </w:p>
        </w:tc>
        <w:tc>
          <w:tcPr>
            <w:tcW w:type="dxa" w:w="4873"/>
            <w:vAlign w:val="center"/>
            <w:shd w:fill="071426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Actividad principal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Orientación y módulo 1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2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2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3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3 + Proyecto 1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4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4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5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5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6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6 + Proyecto 2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7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7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8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8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9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9 + Proyecto 3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10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10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11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11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12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12 + Proyecto 4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13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13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14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14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15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15 + Proyecto 5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16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16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17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Módulo 17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18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Capstone: propuesta y baseline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19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Capstone: experimentación e informe</w:t>
            </w:r>
          </w:p>
        </w:tc>
      </w:tr>
      <w:tr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20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Defensa y evaluación final</w:t>
            </w:r>
          </w:p>
        </w:tc>
      </w:tr>
    </w:tbl>
    <w:p>
      <w:pPr>
        <w:pStyle w:val="Heading2"/>
      </w:pPr>
      <w:r>
        <w:t>Sistema de evaluación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shd w:fill="102747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Componente</w:t>
            </w:r>
          </w:p>
        </w:tc>
        <w:tc>
          <w:tcPr>
            <w:tcW w:type="dxa" w:w="3249"/>
            <w:vAlign w:val="center"/>
            <w:shd w:fill="102747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Peso</w:t>
            </w:r>
          </w:p>
        </w:tc>
        <w:tc>
          <w:tcPr>
            <w:tcW w:type="dxa" w:w="3249"/>
            <w:vAlign w:val="center"/>
            <w:shd w:fill="102747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Criterio</w:t>
            </w:r>
          </w:p>
        </w:tc>
      </w:tr>
      <w:tr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Cuestionarios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15%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Comprensión conceptual y matemática</w:t>
            </w:r>
          </w:p>
        </w:tc>
      </w:tr>
      <w:tr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Laboratorios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30%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Corrección, reproducibilidad y análisis</w:t>
            </w:r>
          </w:p>
        </w:tc>
      </w:tr>
      <w:tr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Proyectos por nivel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30%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Aplicación y comunicación técnica</w:t>
            </w:r>
          </w:p>
        </w:tc>
      </w:tr>
      <w:tr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Proyecto final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/>
                <w:color w:val="526DFF"/>
                <w:sz w:val="16"/>
              </w:rPr>
              <w:t>25%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Problema, baseline, prototipo, límites y defensa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ptos" w:hAnsi="Aptos"/>
          <w:b/>
          <w:color w:val="526DFF"/>
          <w:sz w:val="16"/>
        </w:rPr>
        <w:t>CAPSTONE</w:t>
      </w:r>
    </w:p>
    <w:p>
      <w:pPr>
        <w:pStyle w:val="Heading1"/>
      </w:pPr>
      <w:r>
        <w:t>Proyecto final: del problema al prototipo cuántico</w:t>
      </w:r>
    </w:p>
    <w:p>
      <w:r>
        <w:t>El participante elige un problema realista de optimización, simulación, seguridad o aprendizaje automático. La propuesta debe justificar por qué un enfoque cuántico merece ser explorado y debe incluir una comparación clásica.</w:t>
      </w:r>
    </w:p>
    <w:p>
      <w:pPr>
        <w:pStyle w:val="Heading2"/>
      </w:pPr>
      <w:r>
        <w:t>Entregables</w:t>
      </w:r>
    </w:p>
    <w:p>
      <w:pPr>
        <w:pStyle w:val="ListBullet"/>
        <w:spacing w:after="40"/>
      </w:pPr>
      <w:r>
        <w:t>Propuesta de 2 a 3 páginas con objetivo, alcance y riesgos.</w:t>
      </w:r>
    </w:p>
    <w:p>
      <w:pPr>
        <w:pStyle w:val="ListBullet"/>
        <w:spacing w:after="40"/>
      </w:pPr>
      <w:r>
        <w:t>Notebook reproducible con dependencias y semillas documentadas.</w:t>
      </w:r>
    </w:p>
    <w:p>
      <w:pPr>
        <w:pStyle w:val="ListBullet"/>
        <w:spacing w:after="40"/>
      </w:pPr>
      <w:r>
        <w:t>Baseline clásico y métricas de comparación.</w:t>
      </w:r>
    </w:p>
    <w:p>
      <w:pPr>
        <w:pStyle w:val="ListBullet"/>
        <w:spacing w:after="40"/>
      </w:pPr>
      <w:r>
        <w:t>Resultados, interpretación estadística y limitaciones.</w:t>
      </w:r>
    </w:p>
    <w:p>
      <w:pPr>
        <w:pStyle w:val="ListBullet"/>
        <w:spacing w:after="40"/>
      </w:pPr>
      <w:r>
        <w:t>Informe técnico de 8 a 12 páginas.</w:t>
      </w:r>
    </w:p>
    <w:p>
      <w:pPr>
        <w:pStyle w:val="ListBullet"/>
        <w:spacing w:after="40"/>
      </w:pPr>
      <w:r>
        <w:t>Presentación y defensa oral de 20 minutos.</w:t>
      </w:r>
    </w:p>
    <w:p>
      <w:pPr>
        <w:pStyle w:val="Heading2"/>
      </w:pPr>
      <w:r>
        <w:t>Rúbrica (100 puntos)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vAlign w:val="center"/>
            <w:shd w:fill="071426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Dimensión</w:t>
            </w:r>
          </w:p>
        </w:tc>
        <w:tc>
          <w:tcPr>
            <w:tcW w:type="dxa" w:w="3249"/>
            <w:vAlign w:val="center"/>
            <w:shd w:fill="071426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Puntos</w:t>
            </w:r>
          </w:p>
        </w:tc>
        <w:tc>
          <w:tcPr>
            <w:tcW w:type="dxa" w:w="3249"/>
            <w:vAlign w:val="center"/>
            <w:shd w:fill="071426"/>
          </w:tcPr>
          <w:p>
            <w:r/>
            <w:r>
              <w:rPr>
                <w:rFonts w:ascii="Aptos" w:hAnsi="Aptos"/>
                <w:b/>
                <w:color w:val="FFFFFF"/>
                <w:sz w:val="18"/>
              </w:rPr>
              <w:t>Qué se observa</w:t>
            </w:r>
          </w:p>
        </w:tc>
      </w:tr>
      <w:tr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Definición del problema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/>
                <w:color w:val="20B98A"/>
                <w:sz w:val="16"/>
              </w:rPr>
              <w:t>15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Claridad, pertinencia y alcance</w:t>
            </w:r>
          </w:p>
        </w:tc>
      </w:tr>
      <w:tr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Fundamento cuántico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/>
                <w:color w:val="20B98A"/>
                <w:sz w:val="16"/>
              </w:rPr>
              <w:t>20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Selección y explicación del enfoque</w:t>
            </w:r>
          </w:p>
        </w:tc>
      </w:tr>
      <w:tr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Implementación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/>
                <w:color w:val="20B98A"/>
                <w:sz w:val="16"/>
              </w:rPr>
              <w:t>20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Calidad, reproducibilidad y pruebas</w:t>
            </w:r>
          </w:p>
        </w:tc>
      </w:tr>
      <w:tr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Comparación clásica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/>
                <w:color w:val="20B98A"/>
                <w:sz w:val="16"/>
              </w:rPr>
              <w:t>15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Baseline y métricas honestas</w:t>
            </w:r>
          </w:p>
        </w:tc>
      </w:tr>
      <w:tr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Análisis crítico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/>
                <w:color w:val="20B98A"/>
                <w:sz w:val="16"/>
              </w:rPr>
              <w:t>20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Ruido, recursos, limitaciones y próximos pasos</w:t>
            </w:r>
          </w:p>
        </w:tc>
      </w:tr>
      <w:tr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Comunicación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/>
                <w:color w:val="20B98A"/>
                <w:sz w:val="16"/>
              </w:rPr>
              <w:t>10</w:t>
            </w:r>
          </w:p>
        </w:tc>
        <w:tc>
          <w:tcPr>
            <w:tcW w:type="dxa" w:w="3249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6"/>
              </w:rPr>
              <w:t>Informe, visuales y defensa</w:t>
            </w:r>
          </w:p>
        </w:tc>
      </w:tr>
    </w:tbl>
    <w:p>
      <w:pPr>
        <w:pStyle w:val="Heading2"/>
      </w:pPr>
      <w:r>
        <w:t>Criterios para el certificado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E7F8F3"/>
          </w:tcPr>
          <w:p>
            <w:pPr>
              <w:spacing w:after="80"/>
            </w:pPr>
            <w:r>
              <w:rPr>
                <w:b/>
                <w:color w:val="526DFF"/>
              </w:rPr>
              <w:t>Finalización aprobada</w:t>
            </w:r>
          </w:p>
          <w:p>
            <w:pPr>
              <w:spacing w:after="40"/>
            </w:pPr>
            <w:r>
              <w:t>Asistencia o seguimiento equivalente ≥ 80%, promedio general ≥ 70/100, entrega de todos los laboratorios obligatorios y proyecto final aprobado. El certificado propuesto es institucional de Vortex Ed; cualquier acreditación externa deberá definirse antes de publicar la convocatoria.</w:t>
            </w:r>
          </w:p>
        </w:tc>
      </w:tr>
    </w:tbl>
    <w:p>
      <w:r>
        <w:br w:type="page"/>
      </w:r>
    </w:p>
    <w:p>
      <w:pPr>
        <w:spacing w:after="80"/>
      </w:pPr>
      <w:r>
        <w:rPr>
          <w:rFonts w:ascii="Aptos" w:hAnsi="Aptos"/>
          <w:b/>
          <w:color w:val="526DFF"/>
          <w:sz w:val="16"/>
        </w:rPr>
        <w:t>REFERENCIA RÁPIDA</w:t>
      </w:r>
    </w:p>
    <w:p>
      <w:pPr>
        <w:pStyle w:val="Heading1"/>
      </w:pPr>
      <w:r>
        <w:t>Fórmulas y relaciones esenciales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Qubit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|ψ⟩ = α|0⟩ + β|1⟩, con |α|² + |β|² = 1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Regla de Born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P(0) = |α|² y P(1) = |β|²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Evolución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|ψ'⟩ = U|ψ⟩, donde U†U = I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Valor esperado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⟨A⟩ = ⟨ψ|A|ψ⟩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Estado de Bell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|Φ⁺⟩ = (|00⟩ + |11⟩)/√2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Matriz densidad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ρ = |ψ⟩⟨ψ| para un estado puro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Grover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O(√N) consultas para búsqueda no estructurada</w:t>
            </w:r>
          </w:p>
        </w:tc>
      </w:tr>
      <w:tr>
        <w:tc>
          <w:tcPr>
            <w:tcW w:type="dxa" w:w="4873"/>
            <w:vAlign w:val="center"/>
            <w:shd w:fill="EEF4FB"/>
          </w:tcPr>
          <w:p>
            <w:r/>
            <w:r>
              <w:rPr>
                <w:rFonts w:ascii="Aptos" w:hAnsi="Aptos"/>
                <w:b/>
                <w:color w:val="526DFF"/>
                <w:sz w:val="18"/>
              </w:rPr>
              <w:t>QFT</w:t>
            </w:r>
          </w:p>
        </w:tc>
        <w:tc>
          <w:tcPr>
            <w:tcW w:type="dxa" w:w="4873"/>
            <w:vAlign w:val="center"/>
          </w:tcPr>
          <w:p>
            <w:r/>
            <w:r>
              <w:rPr>
                <w:rFonts w:ascii="Aptos" w:hAnsi="Aptos"/>
                <w:b w:val="0"/>
                <w:color w:val="12243C"/>
                <w:sz w:val="18"/>
              </w:rPr>
              <w:t>|j⟩ → (1/√N) Σₖ e^(2πijk/N)|k⟩</w:t>
            </w:r>
          </w:p>
        </w:tc>
      </w:tr>
    </w:tbl>
    <w:p>
      <w:pPr>
        <w:pStyle w:val="Heading2"/>
      </w:pPr>
      <w:r>
        <w:t>Primer circuito en Python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071426"/>
          </w:tcPr>
          <w:p>
            <w:r/>
            <w:r>
              <w:rPr>
                <w:rFonts w:ascii="Consolas" w:hAnsi="Consolas"/>
                <w:color w:val="D9E7F8"/>
                <w:sz w:val="16"/>
              </w:rPr>
              <w:t>from qiskit import QuantumCircuit</w:t>
              <w:br/>
              <w:br/>
              <w:t>qc = QuantumCircuit(2, 2)</w:t>
              <w:br/>
              <w:t>qc.h(0)</w:t>
              <w:br/>
              <w:t>qc.cx(0, 1)</w:t>
              <w:br/>
              <w:t>qc.measure([0, 1], [0, 1])</w:t>
              <w:br/>
              <w:br/>
              <w:t># Un simulador ideal debe concentrar los resultados en 00 y 11.</w:t>
            </w:r>
          </w:p>
        </w:tc>
      </w:tr>
    </w:tbl>
    <w:p>
      <w:pPr>
        <w:pStyle w:val="Heading2"/>
      </w:pPr>
      <w:r>
        <w:t>Bibliografía y recursos recomendados</w:t>
      </w:r>
    </w:p>
    <w:p>
      <w:pPr>
        <w:pStyle w:val="ListBullet"/>
        <w:spacing w:after="40"/>
      </w:pPr>
      <w:r>
        <w:t>Nielsen, M. A. y Chuang, I. L. Quantum Computation and Quantum Information.</w:t>
      </w:r>
    </w:p>
    <w:p>
      <w:pPr>
        <w:pStyle w:val="ListBullet"/>
        <w:spacing w:after="40"/>
      </w:pPr>
      <w:r>
        <w:t>Preskill, J. Lecture Notes for Physics 229: Quantum Information and Computation.</w:t>
      </w:r>
    </w:p>
    <w:p>
      <w:pPr>
        <w:pStyle w:val="ListBullet"/>
        <w:spacing w:after="40"/>
      </w:pPr>
      <w:r>
        <w:t>IBM Quantum Learning y documentación oficial de Qiskit.</w:t>
      </w:r>
    </w:p>
    <w:p>
      <w:pPr>
        <w:pStyle w:val="ListBullet"/>
        <w:spacing w:after="40"/>
      </w:pPr>
      <w:r>
        <w:t>Qiskit Textbook / materiales abiertos equivalentes, verificando compatibilidad con la versión instalada.</w:t>
      </w:r>
    </w:p>
    <w:p>
      <w:pPr>
        <w:pStyle w:val="ListBullet"/>
        <w:spacing w:after="40"/>
      </w:pPr>
      <w:r>
        <w:t>NIST: información oficial sobre estandarización de criptografía poscuántica.</w:t>
      </w:r>
    </w:p>
    <w:p>
      <w:pPr>
        <w:pStyle w:val="ListBullet"/>
        <w:spacing w:after="40"/>
      </w:pPr>
      <w:r>
        <w:t>Documentación oficial del proveedor de hardware elegido para cada laboratorio.</w:t>
      </w:r>
    </w:p>
    <w:p>
      <w:pPr>
        <w:pStyle w:val="Heading2"/>
      </w:pPr>
      <w:r>
        <w:t>Glosario mínimo</w:t>
      </w:r>
    </w:p>
    <w:p>
      <w:r>
        <w:rPr>
          <w:b/>
          <w:color w:val="526DFF"/>
        </w:rPr>
        <w:t xml:space="preserve">Amplitud. </w:t>
      </w:r>
      <w:r>
        <w:t>Número complejo cuyo módulo al cuadrado determina una probabilidad.</w:t>
      </w:r>
    </w:p>
    <w:p>
      <w:r>
        <w:rPr>
          <w:b/>
          <w:color w:val="526DFF"/>
        </w:rPr>
        <w:t xml:space="preserve">Ansatz. </w:t>
      </w:r>
      <w:r>
        <w:t>Circuito parametrizado usado como hipótesis en un algoritmo variacional.</w:t>
      </w:r>
    </w:p>
    <w:p>
      <w:r>
        <w:rPr>
          <w:b/>
          <w:color w:val="526DFF"/>
        </w:rPr>
        <w:t xml:space="preserve">Backend. </w:t>
      </w:r>
      <w:r>
        <w:t>Simulador o dispositivo donde se ejecuta un circuito.</w:t>
      </w:r>
    </w:p>
    <w:p>
      <w:r>
        <w:rPr>
          <w:b/>
          <w:color w:val="526DFF"/>
        </w:rPr>
        <w:t xml:space="preserve">Entrelazamiento. </w:t>
      </w:r>
      <w:r>
        <w:t>Correlación cuántica de un estado que no puede separarse en estados individuales.</w:t>
      </w:r>
    </w:p>
    <w:p>
      <w:r>
        <w:rPr>
          <w:b/>
          <w:color w:val="526DFF"/>
        </w:rPr>
        <w:t xml:space="preserve">Fidelidad. </w:t>
      </w:r>
      <w:r>
        <w:t>Medida de cercanía entre estados u operaciones.</w:t>
      </w:r>
    </w:p>
    <w:p>
      <w:r>
        <w:rPr>
          <w:b/>
          <w:color w:val="526DFF"/>
        </w:rPr>
        <w:t xml:space="preserve">NISQ. </w:t>
      </w:r>
      <w:r>
        <w:t>Dispositivos cuánticos ruidosos de escala intermedia.</w:t>
      </w:r>
    </w:p>
    <w:p>
      <w:r>
        <w:rPr>
          <w:b/>
          <w:color w:val="526DFF"/>
        </w:rPr>
        <w:t xml:space="preserve">Qubit lógico. </w:t>
      </w:r>
      <w:r>
        <w:t>Información cuántica protegida mediante múltiples qubits físicos.</w:t>
      </w:r>
    </w:p>
    <w:p>
      <w:r>
        <w:rPr>
          <w:b/>
          <w:color w:val="526DFF"/>
        </w:rPr>
        <w:t xml:space="preserve">Shot. </w:t>
      </w:r>
      <w:r>
        <w:t>Una repetición de ejecución y medición de un circuito.</w:t>
      </w:r>
    </w:p>
    <w:p>
      <w:r>
        <w:rPr>
          <w:b/>
          <w:color w:val="526DFF"/>
        </w:rPr>
        <w:t xml:space="preserve">Transpilación. </w:t>
      </w:r>
      <w:r>
        <w:t>Adaptación de un circuito a puertas y conectividad de un backend.</w:t>
      </w:r>
    </w:p>
    <w:p>
      <w:r>
        <w:rPr>
          <w:b/>
          <w:color w:val="526DFF"/>
        </w:rPr>
        <w:t xml:space="preserve">Unitario. </w:t>
      </w:r>
      <w:r>
        <w:t>Operador reversible que preserva la norma del estado.</w:t>
      </w:r>
    </w:p>
    <w:p>
      <w:r>
        <w:br w:type="page"/>
      </w:r>
    </w:p>
    <w:p>
      <w:pPr>
        <w:spacing w:after="80"/>
      </w:pPr>
      <w:r>
        <w:rPr>
          <w:rFonts w:ascii="Aptos" w:hAnsi="Aptos"/>
          <w:b/>
          <w:color w:val="28D9ED"/>
          <w:sz w:val="16"/>
        </w:rPr>
        <w:t>VORTEX ED</w:t>
      </w:r>
    </w:p>
    <w:p>
      <w:pPr>
        <w:pStyle w:val="Heading1"/>
      </w:pPr>
      <w:r>
        <w:t>Próximos pasos antes de publicar</w:t>
      </w:r>
    </w:p>
    <w:p>
      <w:pPr>
        <w:pStyle w:val="ListBullet"/>
        <w:spacing w:after="40"/>
      </w:pPr>
      <w:r>
        <w:t>Definir instructor o equipo docente y validar su perfil.</w:t>
      </w:r>
    </w:p>
    <w:p>
      <w:pPr>
        <w:pStyle w:val="ListBullet"/>
        <w:spacing w:after="40"/>
      </w:pPr>
      <w:r>
        <w:t>Elegir modalidad: autogestionada, cohortes en vivo o híbrida.</w:t>
      </w:r>
    </w:p>
    <w:p>
      <w:pPr>
        <w:pStyle w:val="ListBullet"/>
        <w:spacing w:after="40"/>
      </w:pPr>
      <w:r>
        <w:t>Probar todos los notebooks con un entorno y versiones fijadas.</w:t>
      </w:r>
    </w:p>
    <w:p>
      <w:pPr>
        <w:pStyle w:val="ListBullet"/>
        <w:spacing w:after="40"/>
      </w:pPr>
      <w:r>
        <w:t>Definir precio, calendario, cupos y política de soporte.</w:t>
      </w:r>
    </w:p>
    <w:p>
      <w:pPr>
        <w:pStyle w:val="ListBullet"/>
        <w:spacing w:after="40"/>
      </w:pPr>
      <w:r>
        <w:t>Implementar inscripción, autenticación, seguimiento y evaluaciones.</w:t>
      </w:r>
    </w:p>
    <w:p>
      <w:pPr>
        <w:pStyle w:val="ListBullet"/>
        <w:spacing w:after="40"/>
      </w:pPr>
      <w:r>
        <w:t>Diseñar certificados verificables y definir claramente su alcance institucional.</w:t>
      </w:r>
    </w:p>
    <w:p>
      <w:pPr>
        <w:pStyle w:val="ListBullet"/>
        <w:spacing w:after="40"/>
      </w:pPr>
      <w:r>
        <w:t>Realizar una cohorte piloto y ajustar carga horaria según evidencia.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fill="EEF4FB"/>
          </w:tcPr>
          <w:p>
            <w:pPr>
              <w:spacing w:after="80"/>
            </w:pPr>
            <w:r>
              <w:rPr>
                <w:b/>
                <w:color w:val="526DFF"/>
              </w:rPr>
              <w:t>Estado del documento</w:t>
            </w:r>
          </w:p>
          <w:p>
            <w:pPr>
              <w:spacing w:after="40"/>
            </w:pPr>
            <w:r>
              <w:t>Esta es una propuesta académica lista para revisión. No constituye todavía una convocatoria pública ni una certificación acreditada.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191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D728A"/>
        <w:sz w:val="14"/>
      </w:rPr>
      <w:t xml:space="preserve">Vortex Tech Paraguay · Material preliminar de revisión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ptos" w:hAnsi="Aptos"/>
        <w:b/>
        <w:color w:val="526DFF"/>
        <w:sz w:val="14"/>
      </w:rPr>
      <w:t>VORTEX ED   /   FORMACIÓN PROFESIONAL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4" w:lineRule="auto"/>
    </w:pPr>
    <w:rPr>
      <w:rFonts w:ascii="Aptos" w:hAnsi="Aptos"/>
      <w:color w:val="12243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71426"/>
      <w:sz w:val="5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526DFF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12243C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71426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